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0B1A76" w:rsidRPr="000B1A76" w:rsidRDefault="000B1A76" w:rsidP="000B1A76">
      <w:pPr>
        <w:jc w:val="center"/>
        <w:rPr>
          <w:b/>
          <w:color w:val="000000"/>
          <w:lang w:eastAsia="lt-LT"/>
        </w:rPr>
      </w:pPr>
      <w:r w:rsidRPr="000B1A76">
        <w:rPr>
          <w:b/>
          <w:color w:val="000000"/>
          <w:lang w:eastAsia="lt-LT"/>
        </w:rPr>
        <w:t>KLAIPĖDOS LOPŠELIO-DARŽELIO „PINGVINUKAS“</w:t>
      </w:r>
    </w:p>
    <w:p w:rsidR="000B1A76" w:rsidRPr="000B1A76" w:rsidRDefault="000B1A76" w:rsidP="000B1A76">
      <w:pPr>
        <w:jc w:val="center"/>
        <w:rPr>
          <w:color w:val="000000"/>
          <w:lang w:eastAsia="lt-LT"/>
        </w:rPr>
      </w:pPr>
      <w:r w:rsidRPr="000B1A76">
        <w:rPr>
          <w:b/>
          <w:bCs/>
          <w:color w:val="000000"/>
          <w:lang w:eastAsia="lt-LT"/>
        </w:rPr>
        <w:t>2021 VEIKLOS ATASKAITA</w:t>
      </w:r>
    </w:p>
    <w:p w:rsidR="000B1A76" w:rsidRPr="000B1A76" w:rsidRDefault="000B1A76" w:rsidP="000B1A76">
      <w:pPr>
        <w:jc w:val="center"/>
        <w:rPr>
          <w:color w:val="000000"/>
          <w:lang w:eastAsia="lt-LT"/>
        </w:rPr>
      </w:pPr>
      <w:r w:rsidRPr="000B1A76">
        <w:rPr>
          <w:color w:val="000000"/>
          <w:lang w:eastAsia="lt-LT"/>
        </w:rPr>
        <w:t>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3"/>
      </w:tblGrid>
      <w:tr w:rsidR="000B1A76" w:rsidRPr="000B1A76" w:rsidTr="001C4494">
        <w:tc>
          <w:tcPr>
            <w:tcW w:w="9923" w:type="dxa"/>
            <w:tcBorders>
              <w:top w:val="nil"/>
              <w:left w:val="nil"/>
              <w:bottom w:val="nil"/>
              <w:right w:val="nil"/>
            </w:tcBorders>
            <w:tcMar>
              <w:top w:w="0" w:type="dxa"/>
              <w:left w:w="108" w:type="dxa"/>
              <w:bottom w:w="0" w:type="dxa"/>
              <w:right w:w="108" w:type="dxa"/>
            </w:tcMar>
          </w:tcPr>
          <w:p w:rsidR="000B1A76" w:rsidRPr="000B1A76" w:rsidRDefault="000B1A76" w:rsidP="000B1A76">
            <w:pPr>
              <w:ind w:firstLine="603"/>
              <w:jc w:val="both"/>
              <w:rPr>
                <w:rFonts w:eastAsia="Calibri"/>
              </w:rPr>
            </w:pPr>
            <w:r w:rsidRPr="000B1A76">
              <w:rPr>
                <w:rFonts w:eastAsia="Calibri"/>
              </w:rPr>
              <w:t>Klaipėdos lopšelyje-darželyje ,,Pingvinukas“ (toliau – Įstaiga) 2021 m. buvo įgyvendinamos priešmokyklinio, ikimokyklinio ugdymo ir neformaliojo vaikų švietimo programos. 2021-09-01 duomenimis, Įstaigoje buvo formuojamos 6 grupės, ugdyti 104 vaikai (2020 m. – 105 vaikai), iš jų 12 lopšelinio, 57 darželinio ir 35 priešmokyklinio amžiaus. Dirbo 18 pedagoginių darbuotojų (</w:t>
            </w:r>
            <w:r w:rsidRPr="000B1A76">
              <w:t>direktorius, pavaduotojas ugdymui, ikimokyklinio, priešmokyklinio ugdymo, lietuvių kalbos, neformaliojo ir meninio ugdymo mokytojai, logopedas)</w:t>
            </w:r>
            <w:r w:rsidRPr="000B1A76">
              <w:rPr>
                <w:rFonts w:eastAsia="Calibri"/>
              </w:rPr>
              <w:t xml:space="preserve">, t. y. 14,79 etato (2020 m. – 14,6 etato), ir 19 nepedagoginių darbuotojų, t. y. 17,03 etato (2020 m. – 17,03 etato). </w:t>
            </w:r>
          </w:p>
          <w:p w:rsidR="000B1A76" w:rsidRPr="000B1A76" w:rsidRDefault="000B1A76" w:rsidP="000B1A76">
            <w:pPr>
              <w:ind w:firstLine="603"/>
              <w:jc w:val="both"/>
              <w:rPr>
                <w:rFonts w:eastAsia="Calibri"/>
              </w:rPr>
            </w:pPr>
            <w:r w:rsidRPr="000B1A76">
              <w:rPr>
                <w:rFonts w:eastAsia="Calibri"/>
              </w:rPr>
              <w:t xml:space="preserve">2021 m. Įstaigos veikla buvo organizuojama, vadovaujantis 2021–2023 m. strateginiu planu (toliau – Strateginis planas) ir 2021 m. veiklos planu (toliau – Veiklos planas). Įstaiga pasirinko tokią prioritetinės veiklos kryptį – </w:t>
            </w:r>
            <w:r w:rsidRPr="000B1A76">
              <w:rPr>
                <w:rFonts w:eastAsia="Calibri"/>
                <w:szCs w:val="20"/>
              </w:rPr>
              <w:t>vaikų pasiekimų ir švietimo pagalbos jiems gerinimas, taikant veiksmingą ugdytinių pažangos matavimo sistemą</w:t>
            </w:r>
            <w:r w:rsidRPr="000B1A76">
              <w:rPr>
                <w:rFonts w:eastAsia="Calibri"/>
              </w:rPr>
              <w:t xml:space="preserve">. Strateginiame ir Veiklos planuose buvo iškelti konkretūs veiklos tikslai, uždaviniai ir jų įgyvendinimo priemonės pagal laukiamus rezultatus. </w:t>
            </w:r>
          </w:p>
          <w:p w:rsidR="000B1A76" w:rsidRPr="000B1A76" w:rsidRDefault="000B1A76" w:rsidP="000B1A76">
            <w:pPr>
              <w:ind w:firstLine="603"/>
              <w:jc w:val="both"/>
              <w:rPr>
                <w:rFonts w:eastAsia="Calibri"/>
                <w:strike/>
              </w:rPr>
            </w:pPr>
            <w:r w:rsidRPr="000B1A76">
              <w:rPr>
                <w:rFonts w:eastAsia="Calibri"/>
              </w:rPr>
              <w:t xml:space="preserve">Siekiant Strateginio plano pirmojo tikslo – užtikrinti kokybišką ugdymo proceso organizavimą – 2021 m. tobulintas visų Įstaigos veiklos sričių funkcionavimas (personalo valdymo, pedagogų profesinio tobulėjimo, vaikų kompetencijų ugdymo ir pažangos vertinimo, bendradarbiavimo su tėvais ir socialiniais partneriais), stiprintas švietimo pagalbos teikimas, siekta geresnės ugdymo(si) kokybės, taikant informacines ir komunikacines technologijas (toliau – IKT). Tikslui pasiekti buvo vykdomi du Veiklos plano uždaviniai: </w:t>
            </w:r>
          </w:p>
          <w:p w:rsidR="000B1A76" w:rsidRPr="000B1A76" w:rsidRDefault="000B1A76" w:rsidP="000B1A76">
            <w:pPr>
              <w:tabs>
                <w:tab w:val="left" w:pos="995"/>
              </w:tabs>
              <w:ind w:firstLine="570"/>
              <w:jc w:val="both"/>
            </w:pPr>
            <w:r w:rsidRPr="000B1A76">
              <w:rPr>
                <w:rFonts w:eastAsia="Calibri"/>
              </w:rPr>
              <w:t xml:space="preserve">– įgyvendinant pirmąjį uždavinį – </w:t>
            </w:r>
            <w:r w:rsidRPr="000B1A76">
              <w:t xml:space="preserve">sudaryti sąlygas ugdytis ir gerinti ugdymo proceso kokybę </w:t>
            </w:r>
            <w:r w:rsidRPr="000B1A76">
              <w:rPr>
                <w:rFonts w:eastAsia="Calibri"/>
              </w:rPr>
              <w:t xml:space="preserve">– </w:t>
            </w:r>
            <w:r w:rsidRPr="000B1A76">
              <w:t>2021 m. organizuotas tikslingas, lankstus, planavimu grįstas ugdymo procesas, buvo paruošti ir suderinti su mokytojų bei Įstaigos tarybomis ugdomosios bei finansinės veiklos dokumentai</w:t>
            </w:r>
            <w:r w:rsidRPr="000B1A76">
              <w:rPr>
                <w:b/>
                <w:bCs/>
              </w:rPr>
              <w:t xml:space="preserve"> </w:t>
            </w:r>
            <w:r w:rsidRPr="000B1A76">
              <w:t xml:space="preserve">(metinis veiklos, trijų metų strateginis, mokytojų ir pagalbos mokiniui specialistų atestacijos bei kvalifikacijos tobulinimo planai, finansų kontrolės dokumentai, elektroninio dienyno „Mūsų darželis“ nuostatai, mokytojų veiklos planai), organizuotas Įstaigos veiklos kokybės įsivertinimas pagal sritį „Ugdymą(si) skatinanti aplinka“, vykdyta pedagoginės veiklos priežiūra tokiomis temomis: 1) gebėjimas sudominti vaikus ir palaikyti jų ugdymosi motyvaciją; 2) objektyvus vaikų pasiekimų vertinimas; 3) aktyviųjų ugdymo(si) metodų taikymas ir IKT panaudojimas; 4) ugdymo(si) individualizavimas, atsižvelgiant į savitus vaikų ugdymo(si) poreikius ir bendruosius amžiaus ypatumus; 5) ugdomosios veiklos planavimo dokumentų kokybės gerinimas. Pedagogai kvalifikaciją tobulino 728  val. per metus (vidutiniškai vienam pedagogui teko 8 dienos). </w:t>
            </w:r>
          </w:p>
          <w:p w:rsidR="000B1A76" w:rsidRPr="000B1A76" w:rsidRDefault="000B1A76" w:rsidP="000B1A76">
            <w:pPr>
              <w:ind w:firstLine="540"/>
              <w:jc w:val="both"/>
            </w:pPr>
            <w:r w:rsidRPr="000B1A76">
              <w:t xml:space="preserve">Tenkinant vaikų kompetencijas ir saviraiškos poreikius, Įstaigoje buvo įgyvendinamos sveikos gyvensenos „Pamažu ir stiprus aš būsiu“ bei bendravimo lietuvių kalba įgūdžių formavimo neformaliojo vaikų švietimo programos, vykdyta socialinių emocinių įgūdžių ugdymo programa „Kimochis“, dalyvauta tarptautiniame („Aš myliu savo gimtąją kalbą, o ar mylit ją jūs?“), respublikiniuose („Šaltuko išdaigos“, „Daryk ką gali, naudok ką turi“, „Mažieji gamtos saugotojai“, „Iš vaiko širdelės skamba šeimai dainelė“, „Aš ir tu žaidžiame kartu“) projektuose, </w:t>
            </w:r>
            <w:r w:rsidRPr="000B1A76">
              <w:rPr>
                <w:rFonts w:eastAsia="Calibri"/>
              </w:rPr>
              <w:t xml:space="preserve">24 </w:t>
            </w:r>
            <w:r w:rsidRPr="000B1A76">
              <w:rPr>
                <w:lang w:eastAsia="lt-LT"/>
              </w:rPr>
              <w:t>miesto, šalies ir tarptautinėse  parodose, konkursuose ir festivaliuose</w:t>
            </w:r>
            <w:r w:rsidRPr="000B1A76">
              <w:t>, vykdyta 12 tradicinių ir netradicinių Įstaigos renginių, organizuotos 5 edukacinės išvykos, kuriose dalyvavo Įstaigos pedagogai, ugdytiniai ir jų tėvai;</w:t>
            </w:r>
          </w:p>
          <w:p w:rsidR="000B1A76" w:rsidRPr="000B1A76" w:rsidRDefault="000B1A76" w:rsidP="000B1A76">
            <w:pPr>
              <w:tabs>
                <w:tab w:val="left" w:pos="995"/>
              </w:tabs>
              <w:ind w:left="36" w:firstLine="567"/>
              <w:jc w:val="both"/>
            </w:pPr>
            <w:r w:rsidRPr="000B1A76">
              <w:rPr>
                <w:rFonts w:eastAsia="Calibri"/>
              </w:rPr>
              <w:t>– įgyvendinant antrąjį uždavinius – teikti papildomas paslaugas – p</w:t>
            </w:r>
            <w:r w:rsidRPr="000B1A76">
              <w:t>raėjusiais metais didelis dėmesys buvo skiriamas kokybiško vaikų maitinimo organizavimui: tėvams buvo sudarytos galimybės rinktis maitinimų skaičių (</w:t>
            </w:r>
            <w:r w:rsidRPr="000B1A76">
              <w:rPr>
                <w:rFonts w:eastAsia="SimSun"/>
                <w:lang w:eastAsia="zh-CN"/>
              </w:rPr>
              <w:t xml:space="preserve">95 vaikai maitinti 3 kartus, 6 vaikai – 2 kartus, 3 vaikai – 1 kartą per dieną), 35 priešmokyklinio amžiaus vaikams teikti nemokami pietūs, </w:t>
            </w:r>
            <w:r w:rsidRPr="000B1A76">
              <w:rPr>
                <w:rFonts w:eastAsia="Calibri"/>
                <w:lang w:eastAsia="lt-LT"/>
              </w:rPr>
              <w:t xml:space="preserve">11 šeimų taikyta 50 </w:t>
            </w:r>
            <w:r w:rsidRPr="000B1A76">
              <w:rPr>
                <w:rFonts w:eastAsia="Calibri"/>
                <w:lang w:eastAsia="lt-LT"/>
              </w:rPr>
              <w:lastRenderedPageBreak/>
              <w:t xml:space="preserve">% mokesčio už vaikų maitinimą lengvata, </w:t>
            </w:r>
            <w:r w:rsidRPr="000B1A76">
              <w:rPr>
                <w:rFonts w:eastAsia="SimSun"/>
                <w:lang w:eastAsia="zh-CN"/>
              </w:rPr>
              <w:t>maisto paruošimas ir patiekalų įvairovė Įstaigoje atitiko vaikų amžių ir sveikos mitybos rekomendacijas.</w:t>
            </w:r>
            <w:r w:rsidRPr="000B1A76">
              <w:rPr>
                <w:rFonts w:eastAsia="Calibri"/>
                <w:lang w:eastAsia="lt-LT"/>
              </w:rPr>
              <w:t xml:space="preserve"> Logopedo pagalba 2021 m. teikta 27 vaikams, turintiems kalbos ir komunikacijos sutrikimų (</w:t>
            </w:r>
            <w:r w:rsidRPr="000B1A76">
              <w:rPr>
                <w:rFonts w:eastAsia="SimSun"/>
                <w:lang w:eastAsia="zh-CN"/>
              </w:rPr>
              <w:t xml:space="preserve">100 </w:t>
            </w:r>
            <w:r w:rsidRPr="000B1A76">
              <w:rPr>
                <w:lang w:eastAsia="lt-LT"/>
              </w:rPr>
              <w:t xml:space="preserve">% </w:t>
            </w:r>
            <w:r w:rsidRPr="000B1A76">
              <w:rPr>
                <w:rFonts w:eastAsia="SimSun"/>
                <w:lang w:eastAsia="zh-CN"/>
              </w:rPr>
              <w:t>tenkintas poreikis)</w:t>
            </w:r>
            <w:r w:rsidRPr="000B1A76">
              <w:rPr>
                <w:rFonts w:eastAsia="Calibri"/>
                <w:lang w:eastAsia="lt-LT"/>
              </w:rPr>
              <w:t>, iš jų</w:t>
            </w:r>
            <w:r w:rsidRPr="000B1A76">
              <w:rPr>
                <w:rFonts w:eastAsia="SimSun"/>
                <w:lang w:eastAsia="zh-CN"/>
              </w:rPr>
              <w:t xml:space="preserve"> 11 vaikų sutrikimai pašalinti, 7 vaikams pagalba bus tęsiama kitais metais. </w:t>
            </w:r>
            <w:r w:rsidRPr="000B1A76">
              <w:t>Stiprinant vaikų saugumą ir tėvų informavimą, buvo organizuoti 8 tėvų susirinkimai, teikta 15 individualių konsultacijų ugdymo klausimais, skatinta tėvų tarybos veikla, buvo sistemingai atnaujinama su ugdymu, COVID-19 valdymu ir kita informacija Įstaigos stenduose, interneto svetainėje (</w:t>
            </w:r>
            <w:hyperlink r:id="rId6" w:history="1">
              <w:r w:rsidRPr="000B1A76">
                <w:rPr>
                  <w:color w:val="0563C1"/>
                  <w:u w:val="single"/>
                </w:rPr>
                <w:t>https://www.pingvinukas.lt</w:t>
              </w:r>
            </w:hyperlink>
            <w:r w:rsidRPr="000B1A76">
              <w:t>).</w:t>
            </w:r>
          </w:p>
          <w:p w:rsidR="000B1A76" w:rsidRPr="000B1A76" w:rsidRDefault="000B1A76" w:rsidP="000B1A76">
            <w:pPr>
              <w:ind w:firstLine="573"/>
              <w:jc w:val="both"/>
            </w:pPr>
            <w:r w:rsidRPr="000B1A76">
              <w:rPr>
                <w:rFonts w:eastAsia="Calibri"/>
              </w:rPr>
              <w:t xml:space="preserve">Siekiant Strateginio plano antrojo tikslo – gerinti ugdymo sąlygas ir aplinką – buvo vykdomi du Strateginio plano uždaviniai – pritaikyti aplinkas ugdymo reikmėms ir kurti Įstaigos bendruomenei patogią IKT paslaugų infrastruktūrą. Įgyvendinant šiuos uždavinius, </w:t>
            </w:r>
            <w:r w:rsidRPr="000B1A76">
              <w:t>racionaliai ir taupiai</w:t>
            </w:r>
            <w:r w:rsidRPr="000B1A76">
              <w:rPr>
                <w:rFonts w:eastAsia="Calibri"/>
              </w:rPr>
              <w:t xml:space="preserve"> buvo </w:t>
            </w:r>
            <w:r w:rsidRPr="000B1A76">
              <w:rPr>
                <w:rFonts w:eastAsia="Calibri"/>
                <w:lang w:eastAsia="lt-LT"/>
              </w:rPr>
              <w:t xml:space="preserve">panaudotos valstybės, savivaldybės ir paramos lėšos. </w:t>
            </w:r>
            <w:r w:rsidRPr="000B1A76">
              <w:rPr>
                <w:rFonts w:eastAsia="Calibri"/>
              </w:rPr>
              <w:t xml:space="preserve">2021 m. </w:t>
            </w:r>
            <w:r w:rsidRPr="000B1A76">
              <w:t>atlikti einamieji remontai 6 grupėse (0,5 tūkst. Eur), nupirkta 15 roletų priešmokyklinio ugdymo grupei (0,8 tūkst. Eur), 50 pagalvių (0,3 tūkst. Eur), elektrinės svarstyklės (0,1 tūkst. Eur.), 2 šaldytuvai (0,7 tūkst. Eur.), daugiafunkcis spausdintuvas (1,8 tūkst. Eur), interaktyvios grindys (3,5 tūkst. Eur), įsigyti lauko žaidimų įrengimai ir priemonės (0,8 tūkst. Eur), žaislai (1,9 tūkst. Eur).</w:t>
            </w:r>
          </w:p>
          <w:p w:rsidR="000B1A76" w:rsidRPr="000B1A76" w:rsidRDefault="000B1A76" w:rsidP="000B1A76">
            <w:pPr>
              <w:ind w:firstLine="603"/>
              <w:jc w:val="both"/>
              <w:rPr>
                <w:rFonts w:ascii="Calibri" w:eastAsia="Calibri" w:hAnsi="Calibri"/>
                <w:sz w:val="22"/>
              </w:rPr>
            </w:pPr>
            <w:r w:rsidRPr="000B1A76">
              <w:rPr>
                <w:rFonts w:eastAsia="Calibri"/>
              </w:rPr>
              <w:t>2021 m. Įstaigos finansinė situacija buvo tokia</w:t>
            </w:r>
            <w:r w:rsidRPr="000B1A76">
              <w:rPr>
                <w:rFonts w:ascii="Calibri" w:eastAsia="Calibri" w:hAnsi="Calibri"/>
                <w:sz w:val="22"/>
              </w:rPr>
              <w:t>:</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0B1A76" w:rsidRPr="000B1A76">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Lėšos (tūkst. Eur)</w:t>
                  </w:r>
                </w:p>
              </w:tc>
              <w:tc>
                <w:tcPr>
                  <w:tcW w:w="2950" w:type="dxa"/>
                  <w:vMerge w:val="restart"/>
                  <w:tcBorders>
                    <w:top w:val="single" w:sz="4" w:space="0" w:color="auto"/>
                    <w:left w:val="single" w:sz="4" w:space="0" w:color="auto"/>
                    <w:bottom w:val="single" w:sz="4" w:space="0" w:color="auto"/>
                    <w:right w:val="single" w:sz="4" w:space="0" w:color="auto"/>
                  </w:tcBorders>
                </w:tcPr>
                <w:p w:rsidR="000B1A76" w:rsidRPr="000B1A76" w:rsidRDefault="000B1A76" w:rsidP="000B1A76">
                  <w:pPr>
                    <w:jc w:val="center"/>
                    <w:rPr>
                      <w:rFonts w:eastAsia="Calibri"/>
                    </w:rPr>
                  </w:pPr>
                  <w:r w:rsidRPr="000B1A76">
                    <w:rPr>
                      <w:rFonts w:eastAsia="Calibri"/>
                    </w:rPr>
                    <w:t>Pastabos</w:t>
                  </w:r>
                </w:p>
                <w:p w:rsidR="000B1A76" w:rsidRPr="000B1A76" w:rsidRDefault="000B1A76" w:rsidP="000B1A76">
                  <w:pPr>
                    <w:jc w:val="center"/>
                    <w:rPr>
                      <w:rFonts w:eastAsia="Calibri"/>
                    </w:rPr>
                  </w:pPr>
                </w:p>
              </w:tc>
            </w:tr>
            <w:tr w:rsidR="000B1A76" w:rsidRPr="000B1A76">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76" w:rsidRPr="000B1A76" w:rsidRDefault="000B1A76" w:rsidP="000B1A76"/>
              </w:tc>
              <w:tc>
                <w:tcPr>
                  <w:tcW w:w="1494"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76" w:rsidRPr="000B1A76" w:rsidRDefault="000B1A76" w:rsidP="000B1A76"/>
              </w:tc>
            </w:tr>
            <w:tr w:rsidR="000B1A76" w:rsidRPr="000B1A76">
              <w:trPr>
                <w:trHeight w:val="415"/>
              </w:trPr>
              <w:tc>
                <w:tcPr>
                  <w:tcW w:w="233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rPr>
                      <w:rFonts w:eastAsia="Calibri"/>
                    </w:rPr>
                  </w:pPr>
                  <w:r w:rsidRPr="000B1A76">
                    <w:rPr>
                      <w:rFonts w:eastAsia="Calibri"/>
                    </w:rPr>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287,40</w:t>
                  </w:r>
                </w:p>
              </w:tc>
              <w:tc>
                <w:tcPr>
                  <w:tcW w:w="1438"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286,15</w:t>
                  </w:r>
                </w:p>
              </w:tc>
              <w:tc>
                <w:tcPr>
                  <w:tcW w:w="128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99,57</w:t>
                  </w:r>
                </w:p>
              </w:tc>
              <w:tc>
                <w:tcPr>
                  <w:tcW w:w="2950" w:type="dxa"/>
                  <w:tcBorders>
                    <w:top w:val="single" w:sz="4" w:space="0" w:color="auto"/>
                    <w:left w:val="single" w:sz="4" w:space="0" w:color="auto"/>
                    <w:bottom w:val="single" w:sz="4" w:space="0" w:color="auto"/>
                    <w:right w:val="single" w:sz="4" w:space="0" w:color="auto"/>
                  </w:tcBorders>
                </w:tcPr>
                <w:p w:rsidR="000B1A76" w:rsidRPr="000B1A76" w:rsidRDefault="000B1A76" w:rsidP="0059748C">
                  <w:pPr>
                    <w:jc w:val="both"/>
                    <w:rPr>
                      <w:rFonts w:eastAsia="Calibri"/>
                    </w:rPr>
                  </w:pPr>
                </w:p>
              </w:tc>
            </w:tr>
            <w:tr w:rsidR="000B1A76" w:rsidRPr="000B1A76">
              <w:tc>
                <w:tcPr>
                  <w:tcW w:w="233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rPr>
                      <w:rFonts w:eastAsia="Calibri"/>
                    </w:rPr>
                  </w:pPr>
                  <w:r w:rsidRPr="000B1A76">
                    <w:rPr>
                      <w:rFonts w:eastAsia="Calibri"/>
                    </w:rPr>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172,00</w:t>
                  </w:r>
                </w:p>
              </w:tc>
              <w:tc>
                <w:tcPr>
                  <w:tcW w:w="1438"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171,77</w:t>
                  </w:r>
                </w:p>
              </w:tc>
              <w:tc>
                <w:tcPr>
                  <w:tcW w:w="128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99,87</w:t>
                  </w:r>
                </w:p>
              </w:tc>
              <w:tc>
                <w:tcPr>
                  <w:tcW w:w="2950" w:type="dxa"/>
                  <w:tcBorders>
                    <w:top w:val="single" w:sz="4" w:space="0" w:color="auto"/>
                    <w:left w:val="single" w:sz="4" w:space="0" w:color="auto"/>
                    <w:bottom w:val="single" w:sz="4" w:space="0" w:color="auto"/>
                    <w:right w:val="single" w:sz="4" w:space="0" w:color="auto"/>
                  </w:tcBorders>
                </w:tcPr>
                <w:p w:rsidR="000B1A76" w:rsidRPr="000B1A76" w:rsidRDefault="000B1A76" w:rsidP="0059748C">
                  <w:pPr>
                    <w:jc w:val="both"/>
                    <w:rPr>
                      <w:rFonts w:eastAsia="Calibri"/>
                    </w:rPr>
                  </w:pPr>
                </w:p>
              </w:tc>
            </w:tr>
            <w:tr w:rsidR="000B1A76" w:rsidRPr="000B1A76">
              <w:tc>
                <w:tcPr>
                  <w:tcW w:w="233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rPr>
                      <w:rFonts w:eastAsia="Calibri"/>
                    </w:rPr>
                  </w:pPr>
                  <w:r w:rsidRPr="000B1A76">
                    <w:rPr>
                      <w:rFonts w:eastAsia="Calibri"/>
                    </w:rP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47,80</w:t>
                  </w:r>
                </w:p>
              </w:tc>
              <w:tc>
                <w:tcPr>
                  <w:tcW w:w="1438"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43,72</w:t>
                  </w:r>
                </w:p>
              </w:tc>
              <w:tc>
                <w:tcPr>
                  <w:tcW w:w="128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91,46</w:t>
                  </w:r>
                </w:p>
              </w:tc>
              <w:tc>
                <w:tcPr>
                  <w:tcW w:w="2950" w:type="dxa"/>
                  <w:tcBorders>
                    <w:top w:val="single" w:sz="4" w:space="0" w:color="auto"/>
                    <w:left w:val="single" w:sz="4" w:space="0" w:color="auto"/>
                    <w:bottom w:val="single" w:sz="4" w:space="0" w:color="auto"/>
                    <w:right w:val="single" w:sz="4" w:space="0" w:color="auto"/>
                  </w:tcBorders>
                  <w:hideMark/>
                </w:tcPr>
                <w:p w:rsidR="000B1A76" w:rsidRPr="000B1A76" w:rsidRDefault="000B1A76" w:rsidP="0059748C">
                  <w:pPr>
                    <w:jc w:val="both"/>
                    <w:rPr>
                      <w:rFonts w:eastAsia="Calibri"/>
                    </w:rPr>
                  </w:pPr>
                  <w:r w:rsidRPr="000B1A76">
                    <w:rPr>
                      <w:rFonts w:eastAsia="Calibri"/>
                      <w:bCs/>
                    </w:rPr>
                    <w:t>Dėl susidariusios epidemiologinės situacijos šalyje vaikų lankomumas buvo mažesnis nei planuota ir pajamų planas nebuvo įvykdytas</w:t>
                  </w:r>
                </w:p>
              </w:tc>
            </w:tr>
            <w:tr w:rsidR="000B1A76" w:rsidRPr="000B1A76">
              <w:trPr>
                <w:trHeight w:val="143"/>
              </w:trPr>
              <w:tc>
                <w:tcPr>
                  <w:tcW w:w="233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rPr>
                      <w:rFonts w:eastAsia="Calibri"/>
                    </w:rPr>
                  </w:pPr>
                  <w:r w:rsidRPr="000B1A76">
                    <w:rPr>
                      <w:rFonts w:eastAsia="Calibri"/>
                    </w:rP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47,80</w:t>
                  </w:r>
                </w:p>
              </w:tc>
              <w:tc>
                <w:tcPr>
                  <w:tcW w:w="1438"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36,69</w:t>
                  </w:r>
                </w:p>
              </w:tc>
              <w:tc>
                <w:tcPr>
                  <w:tcW w:w="128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76,76</w:t>
                  </w:r>
                </w:p>
              </w:tc>
              <w:tc>
                <w:tcPr>
                  <w:tcW w:w="2950" w:type="dxa"/>
                  <w:tcBorders>
                    <w:top w:val="single" w:sz="4" w:space="0" w:color="auto"/>
                    <w:left w:val="single" w:sz="4" w:space="0" w:color="auto"/>
                    <w:bottom w:val="single" w:sz="4" w:space="0" w:color="auto"/>
                    <w:right w:val="single" w:sz="4" w:space="0" w:color="auto"/>
                  </w:tcBorders>
                  <w:hideMark/>
                </w:tcPr>
                <w:p w:rsidR="000B1A76" w:rsidRPr="000B1A76" w:rsidRDefault="000B1A76" w:rsidP="0059748C">
                  <w:pPr>
                    <w:jc w:val="both"/>
                    <w:rPr>
                      <w:rFonts w:eastAsia="Calibri"/>
                    </w:rPr>
                  </w:pPr>
                  <w:r w:rsidRPr="000B1A76">
                    <w:rPr>
                      <w:rFonts w:eastAsia="Calibri"/>
                      <w:bCs/>
                    </w:rPr>
                    <w:t>Dėl žymiai sumažėjusio vaikų lankomumo išlaidos mitybai buvo mažesnės nei planuotos, tai turėjo įtakos vykdant išlaidų planą (neįvykdyta 23,24%)</w:t>
                  </w:r>
                </w:p>
              </w:tc>
            </w:tr>
            <w:tr w:rsidR="000B1A76" w:rsidRPr="000B1A76">
              <w:trPr>
                <w:trHeight w:val="125"/>
              </w:trPr>
              <w:tc>
                <w:tcPr>
                  <w:tcW w:w="233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rPr>
                      <w:rFonts w:eastAsia="Calibri"/>
                    </w:rPr>
                  </w:pPr>
                  <w:r w:rsidRPr="000B1A76">
                    <w:rPr>
                      <w:rFonts w:eastAsia="Calibri"/>
                    </w:rPr>
                    <w:t>Projektų finansavimas (ES; VB; SB)</w:t>
                  </w:r>
                </w:p>
              </w:tc>
              <w:tc>
                <w:tcPr>
                  <w:tcW w:w="1494" w:type="dxa"/>
                  <w:tcBorders>
                    <w:top w:val="single" w:sz="4" w:space="0" w:color="auto"/>
                    <w:left w:val="single" w:sz="4" w:space="0" w:color="auto"/>
                    <w:bottom w:val="single" w:sz="4" w:space="0" w:color="auto"/>
                    <w:right w:val="single" w:sz="4" w:space="0" w:color="auto"/>
                  </w:tcBorders>
                </w:tcPr>
                <w:p w:rsidR="000B1A76" w:rsidRPr="000B1A76" w:rsidRDefault="000B1A76" w:rsidP="000B1A76">
                  <w:pPr>
                    <w:jc w:val="center"/>
                    <w:rPr>
                      <w:rFonts w:eastAsia="Calibri"/>
                    </w:rPr>
                  </w:pPr>
                </w:p>
              </w:tc>
              <w:tc>
                <w:tcPr>
                  <w:tcW w:w="1438" w:type="dxa"/>
                  <w:tcBorders>
                    <w:top w:val="single" w:sz="4" w:space="0" w:color="auto"/>
                    <w:left w:val="single" w:sz="4" w:space="0" w:color="auto"/>
                    <w:bottom w:val="single" w:sz="4" w:space="0" w:color="auto"/>
                    <w:right w:val="single" w:sz="4" w:space="0" w:color="auto"/>
                  </w:tcBorders>
                </w:tcPr>
                <w:p w:rsidR="000B1A76" w:rsidRPr="000B1A76" w:rsidRDefault="000B1A76" w:rsidP="000B1A76">
                  <w:pPr>
                    <w:jc w:val="center"/>
                    <w:rPr>
                      <w:rFonts w:eastAsia="Calibri"/>
                    </w:rPr>
                  </w:pPr>
                </w:p>
              </w:tc>
              <w:tc>
                <w:tcPr>
                  <w:tcW w:w="1283" w:type="dxa"/>
                  <w:tcBorders>
                    <w:top w:val="single" w:sz="4" w:space="0" w:color="auto"/>
                    <w:left w:val="single" w:sz="4" w:space="0" w:color="auto"/>
                    <w:bottom w:val="single" w:sz="4" w:space="0" w:color="auto"/>
                    <w:right w:val="single" w:sz="4" w:space="0" w:color="auto"/>
                  </w:tcBorders>
                </w:tcPr>
                <w:p w:rsidR="000B1A76" w:rsidRPr="000B1A76" w:rsidRDefault="000B1A76" w:rsidP="000B1A76">
                  <w:pPr>
                    <w:jc w:val="center"/>
                    <w:rPr>
                      <w:rFonts w:eastAsia="Calibri"/>
                    </w:rPr>
                  </w:pPr>
                </w:p>
              </w:tc>
              <w:tc>
                <w:tcPr>
                  <w:tcW w:w="2950" w:type="dxa"/>
                  <w:tcBorders>
                    <w:top w:val="single" w:sz="4" w:space="0" w:color="auto"/>
                    <w:left w:val="single" w:sz="4" w:space="0" w:color="auto"/>
                    <w:bottom w:val="single" w:sz="4" w:space="0" w:color="auto"/>
                    <w:right w:val="single" w:sz="4" w:space="0" w:color="auto"/>
                  </w:tcBorders>
                </w:tcPr>
                <w:p w:rsidR="000B1A76" w:rsidRPr="000B1A76" w:rsidRDefault="000B1A76" w:rsidP="0059748C">
                  <w:pPr>
                    <w:jc w:val="both"/>
                    <w:rPr>
                      <w:rFonts w:eastAsia="Calibri"/>
                    </w:rPr>
                  </w:pPr>
                </w:p>
              </w:tc>
            </w:tr>
            <w:tr w:rsidR="000B1A76" w:rsidRPr="000B1A76">
              <w:tc>
                <w:tcPr>
                  <w:tcW w:w="233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rPr>
                      <w:rFonts w:eastAsia="Calibri"/>
                    </w:rPr>
                  </w:pPr>
                  <w:r w:rsidRPr="000B1A76">
                    <w:rPr>
                      <w:rFonts w:eastAsia="Calibri"/>
                    </w:rPr>
                    <w:t>Kitos lėšos (parama 2 % GM ir kt.)</w:t>
                  </w:r>
                </w:p>
              </w:tc>
              <w:tc>
                <w:tcPr>
                  <w:tcW w:w="1494"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0,55</w:t>
                  </w:r>
                  <w:bookmarkStart w:id="2" w:name="_GoBack"/>
                  <w:bookmarkEnd w:id="2"/>
                </w:p>
              </w:tc>
              <w:tc>
                <w:tcPr>
                  <w:tcW w:w="1438"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0,05</w:t>
                  </w:r>
                </w:p>
              </w:tc>
              <w:tc>
                <w:tcPr>
                  <w:tcW w:w="128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color w:val="000000"/>
                    </w:rPr>
                    <w:t>9,09</w:t>
                  </w:r>
                </w:p>
              </w:tc>
              <w:tc>
                <w:tcPr>
                  <w:tcW w:w="2950" w:type="dxa"/>
                  <w:tcBorders>
                    <w:top w:val="single" w:sz="4" w:space="0" w:color="auto"/>
                    <w:left w:val="single" w:sz="4" w:space="0" w:color="auto"/>
                    <w:bottom w:val="single" w:sz="4" w:space="0" w:color="auto"/>
                    <w:right w:val="single" w:sz="4" w:space="0" w:color="auto"/>
                  </w:tcBorders>
                  <w:hideMark/>
                </w:tcPr>
                <w:p w:rsidR="000B1A76" w:rsidRPr="000B1A76" w:rsidRDefault="000B1A76" w:rsidP="0059748C">
                  <w:pPr>
                    <w:jc w:val="both"/>
                    <w:rPr>
                      <w:rFonts w:eastAsia="Calibri"/>
                    </w:rPr>
                  </w:pPr>
                  <w:r w:rsidRPr="000B1A76">
                    <w:rPr>
                      <w:rFonts w:eastAsia="Calibri"/>
                    </w:rPr>
                    <w:t>Surinktos paramos lėšos bus panaudotos 2022 metais laiko žaidimų įrengimams įsigyti</w:t>
                  </w:r>
                </w:p>
              </w:tc>
            </w:tr>
            <w:tr w:rsidR="000B1A76" w:rsidRPr="000B1A76">
              <w:tc>
                <w:tcPr>
                  <w:tcW w:w="5265" w:type="dxa"/>
                  <w:gridSpan w:val="3"/>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rPr>
                      <w:rFonts w:eastAsia="Calibri"/>
                    </w:rPr>
                  </w:pPr>
                  <w:r w:rsidRPr="000B1A76">
                    <w:rPr>
                      <w:rFonts w:eastAsia="Calibri"/>
                    </w:rPr>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hideMark/>
                </w:tcPr>
                <w:p w:rsidR="000B1A76" w:rsidRPr="000B1A76" w:rsidRDefault="000B1A76" w:rsidP="000B1A76">
                  <w:pPr>
                    <w:jc w:val="center"/>
                    <w:rPr>
                      <w:rFonts w:eastAsia="Calibri"/>
                    </w:rPr>
                  </w:pPr>
                  <w:r w:rsidRPr="000B1A76">
                    <w:rPr>
                      <w:rFonts w:eastAsia="Calibri"/>
                    </w:rPr>
                    <w:t>0,04</w:t>
                  </w:r>
                </w:p>
              </w:tc>
              <w:tc>
                <w:tcPr>
                  <w:tcW w:w="2950" w:type="dxa"/>
                  <w:tcBorders>
                    <w:top w:val="single" w:sz="4" w:space="0" w:color="auto"/>
                    <w:left w:val="single" w:sz="4" w:space="0" w:color="auto"/>
                    <w:bottom w:val="single" w:sz="4" w:space="0" w:color="auto"/>
                    <w:right w:val="single" w:sz="4" w:space="0" w:color="auto"/>
                  </w:tcBorders>
                  <w:hideMark/>
                </w:tcPr>
                <w:p w:rsidR="000B1A76" w:rsidRPr="000B1A76" w:rsidRDefault="000B1A76" w:rsidP="0059748C">
                  <w:pPr>
                    <w:jc w:val="both"/>
                    <w:rPr>
                      <w:rFonts w:eastAsia="Calibri"/>
                    </w:rPr>
                  </w:pPr>
                  <w:r w:rsidRPr="000B1A76">
                    <w:rPr>
                      <w:rFonts w:eastAsia="Calibri"/>
                      <w:bCs/>
                    </w:rPr>
                    <w:t>Kreditorinis įsiskolinimas už ryšio paslaugas, kadangi ryšio paslaugų teikėjai neišrašo sąskaitų išankstiniam apmokėjimui</w:t>
                  </w:r>
                </w:p>
              </w:tc>
            </w:tr>
          </w:tbl>
          <w:p w:rsidR="000B1A76" w:rsidRPr="000B1A76" w:rsidRDefault="000B1A76" w:rsidP="000B1A76">
            <w:pPr>
              <w:ind w:firstLine="567"/>
              <w:jc w:val="both"/>
              <w:rPr>
                <w:rFonts w:eastAsia="Calibri"/>
              </w:rPr>
            </w:pPr>
          </w:p>
          <w:p w:rsidR="000B1A76" w:rsidRDefault="000B1A76" w:rsidP="000B1A76">
            <w:pPr>
              <w:tabs>
                <w:tab w:val="left" w:pos="284"/>
                <w:tab w:val="left" w:pos="426"/>
              </w:tabs>
              <w:ind w:firstLine="567"/>
              <w:jc w:val="both"/>
              <w:rPr>
                <w:rFonts w:eastAsia="Calibri"/>
                <w:color w:val="FF0000"/>
                <w:u w:val="single"/>
                <w:lang w:eastAsia="lt-LT"/>
              </w:rPr>
            </w:pPr>
            <w:r w:rsidRPr="000B1A76">
              <w:rPr>
                <w:rFonts w:eastAsia="Calibri"/>
              </w:rPr>
              <w:t xml:space="preserve">2021 m. Įstaigos veiklą kontroliuojančios institucijos vykdė 2 patikrinimus ir pažeidimų nenustatė: </w:t>
            </w:r>
            <w:r w:rsidRPr="000B1A76">
              <w:rPr>
                <w:szCs w:val="20"/>
                <w:lang w:eastAsia="lt-LT"/>
              </w:rPr>
              <w:t xml:space="preserve">Nacionalinio visuomenės sveikatos centras </w:t>
            </w:r>
            <w:r w:rsidRPr="000B1A76">
              <w:rPr>
                <w:rFonts w:eastAsia="Calibri"/>
              </w:rPr>
              <w:t>(</w:t>
            </w:r>
            <w:r w:rsidRPr="000B1A76">
              <w:rPr>
                <w:szCs w:val="20"/>
                <w:lang w:eastAsia="lt-LT"/>
              </w:rPr>
              <w:t xml:space="preserve">2021-12-23 aktas Nr. (3-12 15.3.2 Mr) PA-7725), </w:t>
            </w:r>
            <w:r w:rsidRPr="000B1A76">
              <w:rPr>
                <w:rFonts w:eastAsia="Calibri"/>
              </w:rPr>
              <w:t xml:space="preserve">Valstybinė maisto ir veterinarinė tarnyba (2021-03-01 aktas Nr. 37VMĮP-31). </w:t>
            </w:r>
          </w:p>
          <w:p w:rsidR="000B1A76" w:rsidRPr="000B1A76" w:rsidRDefault="000B1A76" w:rsidP="000B1A76">
            <w:pPr>
              <w:tabs>
                <w:tab w:val="left" w:pos="284"/>
                <w:tab w:val="left" w:pos="426"/>
              </w:tabs>
              <w:ind w:firstLine="567"/>
              <w:jc w:val="both"/>
              <w:rPr>
                <w:rFonts w:eastAsia="Calibri"/>
                <w:color w:val="FF0000"/>
                <w:u w:val="single"/>
                <w:lang w:eastAsia="lt-LT"/>
              </w:rPr>
            </w:pPr>
            <w:r w:rsidRPr="000B1A76">
              <w:rPr>
                <w:rFonts w:eastAsia="Calibri"/>
              </w:rPr>
              <w:t xml:space="preserve">2021 m. Įstaigoje liko neišspręstos tokios vidaus ir išorės faktorių sąlygotos problemos: </w:t>
            </w:r>
            <w:r w:rsidRPr="000B1A76">
              <w:rPr>
                <w:rFonts w:eastAsia="SimSun"/>
                <w:lang w:eastAsia="zh-CN"/>
              </w:rPr>
              <w:t xml:space="preserve">trūksta </w:t>
            </w:r>
            <w:r w:rsidRPr="000B1A76">
              <w:rPr>
                <w:rFonts w:eastAsia="SimSun"/>
                <w:lang w:eastAsia="zh-CN"/>
              </w:rPr>
              <w:lastRenderedPageBreak/>
              <w:t>sandėliavimo patalpų, prastos būklės vidinė kanalizacija, būtinas 3 aptarnaujančio personalo kabinetų remontas, sienų šiltinimas 2 grupių miegamuosiuose, keistinos grupių durys.</w:t>
            </w:r>
          </w:p>
          <w:p w:rsidR="000B1A76" w:rsidRPr="000B1A76" w:rsidRDefault="000B1A76" w:rsidP="000B1A76">
            <w:pPr>
              <w:tabs>
                <w:tab w:val="left" w:pos="284"/>
                <w:tab w:val="left" w:pos="426"/>
              </w:tabs>
              <w:ind w:firstLine="567"/>
              <w:jc w:val="both"/>
            </w:pPr>
            <w:r w:rsidRPr="000B1A76">
              <w:rPr>
                <w:rFonts w:eastAsia="Calibri"/>
                <w:lang w:eastAsia="lt-LT"/>
              </w:rPr>
              <w:t>Planuodama 2022 m. veiklą, Įstaigos bendruomenė susitarė dėl tokių tęstinių veiklos prioritetų:</w:t>
            </w:r>
            <w:r w:rsidRPr="000B1A76">
              <w:rPr>
                <w:rFonts w:eastAsia="Calibri"/>
              </w:rPr>
              <w:t xml:space="preserve"> kokybiškas Įstaigos veiklos ir ugdymo proceso organizavimas; tėvų įtraukimas į Įstaigos veiklos procesus</w:t>
            </w:r>
            <w:r>
              <w:rPr>
                <w:rFonts w:eastAsia="Calibri"/>
              </w:rPr>
              <w:t>.</w:t>
            </w:r>
          </w:p>
        </w:tc>
      </w:tr>
    </w:tbl>
    <w:p w:rsidR="000B1A76" w:rsidRPr="0059748C" w:rsidRDefault="000B1A76" w:rsidP="0059748C">
      <w:pPr>
        <w:rPr>
          <w:bCs/>
          <w:color w:val="000000"/>
          <w:lang w:eastAsia="lt-LT"/>
        </w:rPr>
      </w:pPr>
    </w:p>
    <w:p w:rsidR="000B1A76" w:rsidRDefault="000B1A76" w:rsidP="00832CC9">
      <w:pPr>
        <w:ind w:firstLine="709"/>
        <w:jc w:val="both"/>
      </w:pPr>
    </w:p>
    <w:p w:rsidR="00D57F27" w:rsidRPr="000B1A76" w:rsidRDefault="000B1A76" w:rsidP="000B1A76">
      <w:r w:rsidRPr="000B1A76">
        <w:rPr>
          <w:lang w:eastAsia="lt-LT"/>
        </w:rPr>
        <w:t>Direktorė</w:t>
      </w:r>
      <w:r>
        <w:rPr>
          <w:lang w:eastAsia="lt-LT"/>
        </w:rPr>
        <w:tab/>
      </w:r>
      <w:r>
        <w:rPr>
          <w:lang w:eastAsia="lt-LT"/>
        </w:rPr>
        <w:tab/>
      </w:r>
      <w:r>
        <w:rPr>
          <w:lang w:eastAsia="lt-LT"/>
        </w:rPr>
        <w:tab/>
      </w:r>
      <w:r>
        <w:rPr>
          <w:lang w:eastAsia="lt-LT"/>
        </w:rPr>
        <w:tab/>
      </w:r>
      <w:r>
        <w:rPr>
          <w:lang w:eastAsia="lt-LT"/>
        </w:rPr>
        <w:tab/>
      </w:r>
      <w:r>
        <w:rPr>
          <w:lang w:eastAsia="lt-LT"/>
        </w:rPr>
        <w:tab/>
      </w:r>
      <w:r w:rsidRPr="000B1A76">
        <w:rPr>
          <w:lang w:eastAsia="lt-LT"/>
        </w:rPr>
        <w:t>Tatjana Sokolova</w:t>
      </w:r>
      <w:r w:rsidRPr="000B1A76">
        <w:rPr>
          <w:color w:val="000000"/>
          <w:lang w:eastAsia="lt-LT"/>
        </w:rPr>
        <w:t xml:space="preserve"> </w:t>
      </w:r>
    </w:p>
    <w:sectPr w:rsidR="00D57F27" w:rsidRPr="000B1A7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9748C">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B1A76"/>
    <w:rsid w:val="0019615E"/>
    <w:rsid w:val="001C4494"/>
    <w:rsid w:val="0034183E"/>
    <w:rsid w:val="004476DD"/>
    <w:rsid w:val="0059748C"/>
    <w:rsid w:val="00597EE8"/>
    <w:rsid w:val="005B434A"/>
    <w:rsid w:val="005F495C"/>
    <w:rsid w:val="00743279"/>
    <w:rsid w:val="00832CC9"/>
    <w:rsid w:val="008354D5"/>
    <w:rsid w:val="008E6E8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E3A3A"/>
  <w15:docId w15:val="{8EB2812D-D88B-4234-87F5-9E08C886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85522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ingvinukas.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4667</Words>
  <Characters>2661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2022-02-24T06:16:00Z</dcterms:created>
  <dcterms:modified xsi:type="dcterms:W3CDTF">2022-02-24T07:57:00Z</dcterms:modified>
</cp:coreProperties>
</file>